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drawing>
          <wp:inline distT="0" distB="0" distL="0" distR="0">
            <wp:extent cx="1333500" cy="1333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line="276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ENTE DE CONTROL DE LOS SERVICIOS PÚBLICOS</w:t>
      </w:r>
    </w:p>
    <w:p>
      <w:pPr>
        <w:spacing w:after="360" w:line="276"/>
        <w:jc w:val="center"/>
      </w:pPr>
      <w:r>
        <w:rPr>
          <w:rFonts w:ascii="Calibri" w:cs="Calibri" w:eastAsia="Calibri" w:hAnsi="Calibri"/>
          <w:sz w:val="18"/>
          <w:szCs w:val="18"/>
        </w:rPr>
        <w:t xml:space="preserve">Municipalidad de Comodoro Rivadavia — Ordenanza N° 13.189/17</w:t>
      </w:r>
    </w:p>
    <w:p>
      <w:pPr>
        <w:spacing w:after="120" w:line="276"/>
        <w:jc w:val="center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INDICADORES PÚBLICOS DE GESTIÓN</w:t>
      </w:r>
    </w:p>
    <w:p>
      <w:pPr>
        <w:spacing w:after="480" w:line="276"/>
        <w:jc w:val="center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Período: 01 de enero de 2026 al 20 de septiembre de 2026</w:t>
      </w: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Cifras generales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65%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Indicador</w:t>
            </w:r>
          </w:p>
        </w:tc>
        <w:tc>
          <w:tcPr>
            <w:tcW w:type="pct" w:w="35%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Valor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Reclamos registrados (histórico)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538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Reclamos en el período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538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Reclamos resueltos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20 (4%)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Tiempo medio de resolución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313 hs</w:t>
            </w:r>
          </w:p>
        </w:tc>
      </w:tr>
    </w:tbl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Distribución por servicio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65%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Servicio</w:t>
            </w:r>
          </w:p>
        </w:tc>
        <w:tc>
          <w:tcPr>
            <w:tcW w:type="pct" w:w="35%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Reclamos (%)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Transporte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488 (91%)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Electricidad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34 (6%)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Residuos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10 (2%)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Agua y Saneamiento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6 (1%)</w:t>
            </w:r>
          </w:p>
        </w:tc>
      </w:tr>
    </w:tbl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Estado de los reclamos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65%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Estado</w:t>
            </w:r>
          </w:p>
        </w:tc>
        <w:tc>
          <w:tcPr>
            <w:tcW w:type="pct" w:w="35%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Cantidad (%)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Recibido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13 (2%)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En revisión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41 (8%)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Derivado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449 (83%)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En proceso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5 (1%)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Resuelto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20 (4%)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Cerrado sin solución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 (0%)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Rechazado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10 (2%)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Archivado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 (0%)</w:t>
            </w:r>
          </w:p>
        </w:tc>
      </w:tr>
    </w:tbl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Cumplimiento por prestadora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65%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Prestadora</w:t>
            </w:r>
          </w:p>
        </w:tc>
        <w:tc>
          <w:tcPr>
            <w:tcW w:type="pct" w:w="35%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Resueltos / Total (%)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CLEAR URBANA S.A.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5 / 10 (50%)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Sociedad Cooperativa Popular Limitada (SCPL)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10 / 40 (25%)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GRUPO MR S.R.L. (SOL BUS)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5 / 457 (1%)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TRANSPORTE DIADEMA S.A.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 / 5 (0%)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PATAGONIA ARGENTINA S.R.L.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 / 26 (0%)</w:t>
            </w:r>
          </w:p>
        </w:tc>
      </w:tr>
    </w:tbl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Top barrios con más reclamos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65%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Barrio</w:t>
            </w:r>
          </w:p>
        </w:tc>
        <w:tc>
          <w:tcPr>
            <w:tcW w:type="pct" w:w="35%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Reclamos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Centro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47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Laprida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22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Km3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14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Manantial Rosales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14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San Cayetano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13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Ciudadela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10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Abel amaya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9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Sarmiento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9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Próspero Palazzo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8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Máximo Abásolo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7</w:t>
            </w:r>
          </w:p>
        </w:tc>
      </w:tr>
    </w:tbl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Calidad del reporte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65%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Elemento</w:t>
            </w:r>
          </w:p>
        </w:tc>
        <w:tc>
          <w:tcPr>
            <w:tcW w:type="pct" w:w="35%"/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% de reclamos del período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Con foto adjunta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12%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Con GPS o geolocalización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100%</w:t>
            </w:r>
          </w:p>
        </w:tc>
      </w:tr>
      <w:tr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Con barrio especificado</w:t>
            </w:r>
          </w:p>
        </w:tc>
        <w:tc>
          <w:tcPr>
            <w:tcBorders>
              <w:top w:val="single" w:color="DDDDDD" w:sz="2"/>
              <w:left w:val="single" w:color="DDDDDD" w:sz="2"/>
              <w:bottom w:val="single" w:color="DDDDDD" w:sz="2"/>
              <w:right w:val="single" w:color="DDDDDD" w:sz="2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86%</w:t>
            </w:r>
          </w:p>
        </w:tc>
      </w:tr>
    </w:tbl>
    <w:p>
      <w:pPr>
        <w:spacing w:after="4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line="276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Reporte generado el 20 de septiembre de 2026 a las 08:47 p. m. desde el Portal de Reclamos ENCOSEP. Datos anonimizados y agregados.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960613a9498e73d9e4562cfc36b17e7aab32770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Indicadores públicos de gestión</dc:title>
  <dc:creator>ENCOSEP — Portal de Reclamos</dc:creator>
  <dc:description>Indicadores ENCOSEP — período 01 de enero de 2026 al 20 de septiembre de 2026</dc:description>
  <cp:lastModifiedBy>Un-named</cp:lastModifiedBy>
  <cp:revision>1</cp:revision>
  <dcterms:created xsi:type="dcterms:W3CDTF">2026-09-20T23:47:03.944Z</dcterms:created>
  <dcterms:modified xsi:type="dcterms:W3CDTF">2026-09-20T23:47:03.944Z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