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drawing>
          <wp:inline distT="0" distB="0" distL="0" distR="0">
            <wp:extent cx="133350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ENTE DE CONTROL DE LOS SERVICIOS PÚBLICOS</w:t>
      </w:r>
    </w:p>
    <w:p>
      <w:pPr>
        <w:spacing w:after="360" w:line="276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Municipalidad de Comodoro Rivadavia — Ordenanza N° 13.189/17</w:t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INDICADORES PÚBLICOS DE GESTIÓN</w:t>
      </w:r>
    </w:p>
    <w:p>
      <w:pPr>
        <w:spacing w:after="480" w:line="276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Período: 01 de enero de 2026 al 10 de septiembre de 2026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Cifras generales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Indicador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Valor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registrados (histórico)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542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en el período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506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resueltos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23 (5%)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Tiempo medio de resolución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439 hs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Distribución por servicio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Servicio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459 (91%)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Electricidad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31 (6%)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Residuos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Agua y Saneamiento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 (1%)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Estado de los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Estado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Recibido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revisión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35 (7%)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425 (84%)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proceso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(1%)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Resuelto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23 (5%)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Cerrado sin 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Rechazado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Archivado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 (1%)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Cumplimiento por prestadora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Prestadora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Resueltos / Total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CLEAR URBANA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/ 10 (50%)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Sociedad Cooperativa Popular Limitada (SCPL)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 / 37 (35%)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GRUPO MR S.R.L. (SOL BUS)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/ 428 (1%)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 DIADEMA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5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PATAGONIA ARGENTINA S.R.L.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26 (0%)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Top barrios con más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Barrio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Centro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44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Laprida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Km3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14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 Cayetano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Manantial Rosales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Ciudadela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Abel amaya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Sarmiento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Próspero Palazzo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Máximo Abásolo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Calidad del reporte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Elemento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% de reclamos del período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foto adjunta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11%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GPS o geolocalización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100%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barrio especificado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86%</w:t>
            </w:r>
          </w:p>
        </w:tc>
      </w:tr>
    </w:tbl>
    <w:p>
      <w:pPr>
        <w:spacing w:after="4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Reporte generado el 22 de septiembre de 2026 a las 02:40 p. m. desde el Portal de Reclamos ENCOSEP. Datos anonimizados y agregados.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960613a9498e73d9e4562cfc36b17e7aab3277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públicos de gestión</dc:title>
  <dc:creator>ENCOSEP — Portal de Reclamos</dc:creator>
  <dc:description>Indicadores ENCOSEP — período 01 de enero de 2026 al 10 de septiembre de 2026</dc:description>
  <cp:lastModifiedBy>Un-named</cp:lastModifiedBy>
  <cp:revision>1</cp:revision>
  <dcterms:created xsi:type="dcterms:W3CDTF">2026-09-22T17:40:42.042Z</dcterms:created>
  <dcterms:modified xsi:type="dcterms:W3CDTF">2026-09-22T17:40:42.042Z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